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46B2" w14:textId="77777777" w:rsidR="00097687" w:rsidRDefault="00097687" w:rsidP="00097687">
      <w:pPr>
        <w:jc w:val="center"/>
        <w:rPr>
          <w:rFonts w:ascii="Arial" w:hAnsi="Arial" w:cs="Arial"/>
          <w:b/>
          <w:sz w:val="36"/>
          <w:szCs w:val="36"/>
        </w:rPr>
      </w:pPr>
    </w:p>
    <w:p w14:paraId="6120A622" w14:textId="53C56530" w:rsidR="00097687" w:rsidRPr="00C850FC" w:rsidRDefault="00097687" w:rsidP="00097687">
      <w:pPr>
        <w:jc w:val="center"/>
        <w:rPr>
          <w:rFonts w:ascii="Arial" w:hAnsi="Arial" w:cs="Arial"/>
          <w:b/>
          <w:sz w:val="36"/>
          <w:szCs w:val="36"/>
        </w:rPr>
      </w:pPr>
      <w:r>
        <w:rPr>
          <w:rFonts w:ascii="Arial" w:hAnsi="Arial" w:cs="Arial"/>
          <w:b/>
          <w:sz w:val="36"/>
          <w:szCs w:val="36"/>
        </w:rPr>
        <w:t xml:space="preserve">Data Breach Tax Tips for Tax Pros </w:t>
      </w:r>
    </w:p>
    <w:p w14:paraId="3C9247E9" w14:textId="77777777" w:rsidR="00097687" w:rsidRPr="00CD3C57" w:rsidRDefault="00097687" w:rsidP="00097687">
      <w:pPr>
        <w:jc w:val="center"/>
        <w:rPr>
          <w:rFonts w:ascii="Arial" w:hAnsi="Arial" w:cs="Arial"/>
        </w:rPr>
      </w:pPr>
      <w:r w:rsidRPr="00CD3C57">
        <w:rPr>
          <w:rFonts w:ascii="Arial" w:hAnsi="Arial" w:cs="Arial"/>
        </w:rPr>
        <w:t>(</w:t>
      </w:r>
      <w:r>
        <w:rPr>
          <w:rFonts w:ascii="Arial" w:hAnsi="Arial" w:cs="Arial"/>
        </w:rPr>
        <w:t>C</w:t>
      </w:r>
      <w:r w:rsidRPr="00CD3C57">
        <w:rPr>
          <w:rFonts w:ascii="Arial" w:hAnsi="Arial" w:cs="Arial"/>
        </w:rPr>
        <w:t xml:space="preserve">lick </w:t>
      </w:r>
      <w:r>
        <w:rPr>
          <w:rFonts w:ascii="Arial" w:hAnsi="Arial" w:cs="Arial"/>
        </w:rPr>
        <w:t xml:space="preserve">the links </w:t>
      </w:r>
      <w:r w:rsidRPr="00CD3C57">
        <w:rPr>
          <w:rFonts w:ascii="Arial" w:hAnsi="Arial" w:cs="Arial"/>
        </w:rPr>
        <w:t>for more informatio</w:t>
      </w:r>
      <w:r>
        <w:rPr>
          <w:rFonts w:ascii="Arial" w:hAnsi="Arial" w:cs="Arial"/>
        </w:rPr>
        <w:t>n)</w:t>
      </w:r>
    </w:p>
    <w:p w14:paraId="52DD7C27" w14:textId="77777777" w:rsidR="00097687" w:rsidRPr="00700284" w:rsidRDefault="00097687" w:rsidP="00097687">
      <w:pPr>
        <w:jc w:val="center"/>
        <w:rPr>
          <w:rFonts w:ascii="Arial" w:hAnsi="Arial" w:cs="Arial"/>
          <w:b/>
          <w:u w:val="single"/>
        </w:rPr>
      </w:pPr>
    </w:p>
    <w:p w14:paraId="15F0BB16" w14:textId="77777777" w:rsidR="00097687" w:rsidRPr="00B55BBC" w:rsidRDefault="00097687" w:rsidP="00097687">
      <w:pPr>
        <w:jc w:val="both"/>
        <w:rPr>
          <w:rFonts w:ascii="Arial" w:eastAsiaTheme="minorHAnsi" w:hAnsi="Arial" w:cs="Arial"/>
          <w:b/>
          <w:bCs/>
          <w:sz w:val="22"/>
          <w:szCs w:val="22"/>
          <w:u w:val="single"/>
        </w:rPr>
      </w:pPr>
      <w:r w:rsidRPr="00B55BBC">
        <w:rPr>
          <w:rFonts w:ascii="Arial" w:eastAsiaTheme="minorHAnsi" w:hAnsi="Arial" w:cs="Arial"/>
          <w:b/>
          <w:bCs/>
          <w:sz w:val="22"/>
          <w:szCs w:val="22"/>
          <w:u w:val="single"/>
        </w:rPr>
        <w:t>Data Breach Red Flags</w:t>
      </w:r>
    </w:p>
    <w:p w14:paraId="4F460971" w14:textId="77777777" w:rsidR="00097687" w:rsidRPr="00B55BBC" w:rsidRDefault="00097687" w:rsidP="00097687">
      <w:pPr>
        <w:numPr>
          <w:ilvl w:val="0"/>
          <w:numId w:val="1"/>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 xml:space="preserve">Slow or unexpected computer or network responsiveness such as: </w:t>
      </w:r>
    </w:p>
    <w:p w14:paraId="4CE514B5" w14:textId="77777777" w:rsidR="00097687" w:rsidRPr="00B55BBC" w:rsidRDefault="00097687" w:rsidP="00097687">
      <w:pPr>
        <w:numPr>
          <w:ilvl w:val="1"/>
          <w:numId w:val="1"/>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Software is slow or actions take longer to process than usual.</w:t>
      </w:r>
    </w:p>
    <w:p w14:paraId="0B5849BC" w14:textId="77777777" w:rsidR="00097687" w:rsidRPr="00B55BBC" w:rsidRDefault="00097687" w:rsidP="00097687">
      <w:pPr>
        <w:numPr>
          <w:ilvl w:val="1"/>
          <w:numId w:val="1"/>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Computer cursor moves or changes numbers without touching the mouse or keyboard.</w:t>
      </w:r>
    </w:p>
    <w:p w14:paraId="55116CF0" w14:textId="77777777" w:rsidR="00097687" w:rsidRPr="00B55BBC" w:rsidRDefault="00097687" w:rsidP="00097687">
      <w:pPr>
        <w:numPr>
          <w:ilvl w:val="1"/>
          <w:numId w:val="1"/>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Unexpectedly being locked out of a network or computer.</w:t>
      </w:r>
    </w:p>
    <w:p w14:paraId="188D2382" w14:textId="77777777" w:rsidR="00097687" w:rsidRPr="00B55BBC" w:rsidRDefault="00097687" w:rsidP="00097687">
      <w:pPr>
        <w:numPr>
          <w:ilvl w:val="0"/>
          <w:numId w:val="2"/>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Client tax returns are being rejected because their Social Security number was already used on another return.</w:t>
      </w:r>
    </w:p>
    <w:p w14:paraId="7997F06A" w14:textId="77777777" w:rsidR="00097687" w:rsidRPr="00B55BBC" w:rsidRDefault="00097687" w:rsidP="00097687">
      <w:pPr>
        <w:numPr>
          <w:ilvl w:val="0"/>
          <w:numId w:val="3"/>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IRS authentication letters (5071C, 6331C, 4883C, 5747C) are being received even though a tax return hasn't been filed.</w:t>
      </w:r>
    </w:p>
    <w:p w14:paraId="54EF0991" w14:textId="77777777" w:rsidR="00097687" w:rsidRPr="00B55BBC" w:rsidRDefault="00097687" w:rsidP="00097687">
      <w:pPr>
        <w:numPr>
          <w:ilvl w:val="0"/>
          <w:numId w:val="4"/>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Getting more e-file receipt acknowledgements than the tax professional actually filed.</w:t>
      </w:r>
    </w:p>
    <w:p w14:paraId="714EF1A4" w14:textId="77777777" w:rsidR="00097687" w:rsidRPr="00B55BBC" w:rsidRDefault="00097687" w:rsidP="00097687">
      <w:pPr>
        <w:numPr>
          <w:ilvl w:val="0"/>
          <w:numId w:val="5"/>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The IRS disabled the tax professional’s online account.</w:t>
      </w:r>
    </w:p>
    <w:p w14:paraId="7C9904FB" w14:textId="77777777" w:rsidR="00097687" w:rsidRPr="00B55BBC" w:rsidRDefault="00097687" w:rsidP="00097687">
      <w:pPr>
        <w:numPr>
          <w:ilvl w:val="0"/>
          <w:numId w:val="6"/>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Transcripts are being delivered to the tax professional’s Secure Object Repository that they did not order.</w:t>
      </w:r>
    </w:p>
    <w:p w14:paraId="1560FA50" w14:textId="77777777" w:rsidR="00097687" w:rsidRPr="00B55BBC" w:rsidRDefault="00097687" w:rsidP="00097687">
      <w:pPr>
        <w:numPr>
          <w:ilvl w:val="0"/>
          <w:numId w:val="7"/>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Notification from the IRS that the tax professional’s Centralized Authorized File number has been compromised. If they suffer a data breach, they should take proactive steps to protect their CAF number and consider requesting a new one to protect themself and their clients.</w:t>
      </w:r>
    </w:p>
    <w:p w14:paraId="446F7C8B" w14:textId="77777777" w:rsidR="00097687" w:rsidRPr="00B55BBC" w:rsidRDefault="00097687" w:rsidP="00097687">
      <w:pPr>
        <w:numPr>
          <w:ilvl w:val="0"/>
          <w:numId w:val="8"/>
        </w:numPr>
        <w:jc w:val="both"/>
        <w:rPr>
          <w:rFonts w:ascii="Arial" w:hAnsi="Arial" w:cs="Arial"/>
          <w:kern w:val="2"/>
          <w:sz w:val="22"/>
          <w:szCs w:val="22"/>
          <w14:ligatures w14:val="standardContextual"/>
        </w:rPr>
      </w:pPr>
      <w:r w:rsidRPr="00B55BBC">
        <w:rPr>
          <w:rFonts w:ascii="Arial" w:hAnsi="Arial" w:cs="Arial"/>
          <w:kern w:val="2"/>
          <w:sz w:val="22"/>
          <w:szCs w:val="22"/>
          <w14:ligatures w14:val="standardContextual"/>
        </w:rPr>
        <w:t>Notification from the IRS regarding a client that they do not represent.</w:t>
      </w:r>
    </w:p>
    <w:p w14:paraId="0409C428" w14:textId="77777777" w:rsidR="00097687" w:rsidRDefault="00097687" w:rsidP="00097687">
      <w:pPr>
        <w:jc w:val="both"/>
        <w:rPr>
          <w:rFonts w:ascii="Arial" w:eastAsiaTheme="minorHAnsi" w:hAnsi="Arial" w:cs="Arial"/>
          <w:b/>
          <w:bCs/>
          <w:sz w:val="22"/>
          <w:szCs w:val="22"/>
          <w:u w:val="single"/>
        </w:rPr>
      </w:pPr>
    </w:p>
    <w:p w14:paraId="05B6D5FA" w14:textId="77777777" w:rsidR="00097687" w:rsidRPr="00F505D5" w:rsidRDefault="00097687" w:rsidP="00097687">
      <w:pPr>
        <w:jc w:val="both"/>
        <w:rPr>
          <w:rFonts w:ascii="Arial" w:eastAsiaTheme="minorHAnsi" w:hAnsi="Arial" w:cs="Arial"/>
          <w:b/>
          <w:bCs/>
          <w:sz w:val="22"/>
          <w:szCs w:val="22"/>
          <w:u w:val="single"/>
        </w:rPr>
      </w:pPr>
      <w:bookmarkStart w:id="0" w:name="_Hlk191391651"/>
      <w:r>
        <w:rPr>
          <w:rFonts w:ascii="Arial" w:eastAsiaTheme="minorHAnsi" w:hAnsi="Arial" w:cs="Arial"/>
          <w:b/>
          <w:bCs/>
          <w:sz w:val="22"/>
          <w:szCs w:val="22"/>
          <w:u w:val="single"/>
        </w:rPr>
        <w:t xml:space="preserve">Ways to </w:t>
      </w:r>
      <w:r w:rsidRPr="00F505D5">
        <w:rPr>
          <w:rFonts w:ascii="Arial" w:eastAsiaTheme="minorHAnsi" w:hAnsi="Arial" w:cs="Arial"/>
          <w:b/>
          <w:bCs/>
          <w:sz w:val="22"/>
          <w:szCs w:val="22"/>
          <w:u w:val="single"/>
        </w:rPr>
        <w:t xml:space="preserve">Protect </w:t>
      </w:r>
      <w:bookmarkEnd w:id="0"/>
      <w:r w:rsidRPr="00F505D5">
        <w:rPr>
          <w:rFonts w:ascii="Arial" w:eastAsiaTheme="minorHAnsi" w:hAnsi="Arial" w:cs="Arial"/>
          <w:b/>
          <w:bCs/>
          <w:sz w:val="22"/>
          <w:szCs w:val="22"/>
          <w:u w:val="single"/>
        </w:rPr>
        <w:t xml:space="preserve">Your Data </w:t>
      </w:r>
    </w:p>
    <w:p w14:paraId="523B8813" w14:textId="77777777" w:rsidR="00097687" w:rsidRPr="00B55BBC" w:rsidRDefault="00097687" w:rsidP="00097687">
      <w:pPr>
        <w:pStyle w:val="ListParagraph"/>
        <w:numPr>
          <w:ilvl w:val="0"/>
          <w:numId w:val="9"/>
        </w:numPr>
        <w:jc w:val="both"/>
        <w:rPr>
          <w:rFonts w:ascii="Arial" w:eastAsiaTheme="minorHAnsi" w:hAnsi="Arial" w:cs="Arial"/>
          <w:sz w:val="22"/>
          <w:szCs w:val="22"/>
        </w:rPr>
      </w:pPr>
      <w:r w:rsidRPr="00B55BBC">
        <w:rPr>
          <w:rFonts w:ascii="Arial" w:eastAsiaTheme="minorHAnsi" w:hAnsi="Arial" w:cs="Arial"/>
          <w:sz w:val="22"/>
          <w:szCs w:val="22"/>
        </w:rPr>
        <w:t>Use multifactor authentication</w:t>
      </w:r>
    </w:p>
    <w:p w14:paraId="50E019D7" w14:textId="77777777" w:rsidR="00097687" w:rsidRPr="00B55BBC" w:rsidRDefault="00097687" w:rsidP="00097687">
      <w:pPr>
        <w:pStyle w:val="ListParagraph"/>
        <w:numPr>
          <w:ilvl w:val="1"/>
          <w:numId w:val="9"/>
        </w:numPr>
        <w:jc w:val="both"/>
        <w:rPr>
          <w:rFonts w:ascii="Arial" w:eastAsiaTheme="minorHAnsi" w:hAnsi="Arial" w:cs="Arial"/>
          <w:sz w:val="22"/>
          <w:szCs w:val="22"/>
        </w:rPr>
      </w:pPr>
      <w:r w:rsidRPr="00B55BBC">
        <w:rPr>
          <w:rFonts w:ascii="Arial" w:eastAsiaTheme="minorHAnsi" w:hAnsi="Arial" w:cs="Arial"/>
          <w:sz w:val="22"/>
          <w:szCs w:val="22"/>
        </w:rPr>
        <w:t>Returning users must enter their username and password plus one or more other items, for example a security code sent as a text to a mobile phone. Tax professionals should use multi-factor authentication wherever it is offered, especially for cloud storage providers, email providers, financial institutions and social media.</w:t>
      </w:r>
    </w:p>
    <w:p w14:paraId="404C3E3F" w14:textId="77777777" w:rsidR="00097687" w:rsidRPr="00B55BBC" w:rsidRDefault="00097687" w:rsidP="00097687">
      <w:pPr>
        <w:pStyle w:val="ListParagraph"/>
        <w:numPr>
          <w:ilvl w:val="1"/>
          <w:numId w:val="9"/>
        </w:numPr>
        <w:jc w:val="both"/>
        <w:rPr>
          <w:rFonts w:ascii="Arial" w:eastAsiaTheme="minorHAnsi" w:hAnsi="Arial" w:cs="Arial"/>
          <w:sz w:val="22"/>
          <w:szCs w:val="22"/>
        </w:rPr>
      </w:pPr>
      <w:r w:rsidRPr="00B55BBC">
        <w:rPr>
          <w:rFonts w:ascii="Arial" w:eastAsiaTheme="minorHAnsi" w:hAnsi="Arial" w:cs="Arial"/>
          <w:sz w:val="22"/>
          <w:szCs w:val="22"/>
        </w:rPr>
        <w:t>All online tax preparation products for tax professionals offer the option for multi-factor authentication as an additional protection for accounts. The IRS strongly urges all tax professionals to use this option. Many data thefts from tax pro</w:t>
      </w:r>
      <w:r>
        <w:rPr>
          <w:rFonts w:ascii="Arial" w:eastAsiaTheme="minorHAnsi" w:hAnsi="Arial" w:cs="Arial"/>
          <w:sz w:val="22"/>
          <w:szCs w:val="22"/>
        </w:rPr>
        <w:t>’s</w:t>
      </w:r>
      <w:r w:rsidRPr="00B55BBC">
        <w:rPr>
          <w:rFonts w:ascii="Arial" w:eastAsiaTheme="minorHAnsi" w:hAnsi="Arial" w:cs="Arial"/>
          <w:sz w:val="22"/>
          <w:szCs w:val="22"/>
        </w:rPr>
        <w:t xml:space="preserve"> offices could have been stopped had preparers used this tool.</w:t>
      </w:r>
    </w:p>
    <w:p w14:paraId="47FCDB5E" w14:textId="77777777" w:rsidR="00097687" w:rsidRPr="00B55BBC"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Install anti-malware/anti-virus security software on all devices (laptops, desktops, routers, tablets and phones) and keep software set to automatically update</w:t>
      </w:r>
      <w:r>
        <w:rPr>
          <w:rFonts w:ascii="Arial" w:hAnsi="Arial" w:cs="Arial"/>
          <w:color w:val="1B1B1B"/>
          <w:sz w:val="22"/>
          <w:szCs w:val="22"/>
        </w:rPr>
        <w:t>.</w:t>
      </w:r>
    </w:p>
    <w:p w14:paraId="4A786EE1" w14:textId="77777777" w:rsidR="00097687" w:rsidRPr="00B55BBC"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Use responsible passwords:</w:t>
      </w:r>
    </w:p>
    <w:p w14:paraId="09427D64" w14:textId="77777777" w:rsidR="00097687" w:rsidRPr="00B55BBC" w:rsidRDefault="00097687" w:rsidP="00097687">
      <w:pPr>
        <w:numPr>
          <w:ilvl w:val="1"/>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Create passwords of at least eight characters (longer is better), Use special and alphanumeric characters, Use passphrases instead of passwords, Use a different password for each account, Password protect wireless devices, Consider a password manager program</w:t>
      </w:r>
      <w:r>
        <w:rPr>
          <w:rFonts w:ascii="Arial" w:hAnsi="Arial" w:cs="Arial"/>
          <w:color w:val="1B1B1B"/>
          <w:sz w:val="22"/>
          <w:szCs w:val="22"/>
        </w:rPr>
        <w:t>.</w:t>
      </w:r>
    </w:p>
    <w:p w14:paraId="56D11C06" w14:textId="77777777" w:rsidR="00097687" w:rsidRPr="00B55BBC"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Encrypt all sensitive files/emails and use strong password protections</w:t>
      </w:r>
      <w:r>
        <w:rPr>
          <w:rFonts w:ascii="Arial" w:hAnsi="Arial" w:cs="Arial"/>
          <w:color w:val="1B1B1B"/>
          <w:sz w:val="22"/>
          <w:szCs w:val="22"/>
        </w:rPr>
        <w:t>.</w:t>
      </w:r>
    </w:p>
    <w:p w14:paraId="2F2D02F3" w14:textId="77777777" w:rsidR="00097687" w:rsidRPr="00B55BBC"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Back up sensitive data to a safe and secure external source not connected fulltime to a network</w:t>
      </w:r>
      <w:r>
        <w:rPr>
          <w:rFonts w:ascii="Arial" w:hAnsi="Arial" w:cs="Arial"/>
          <w:color w:val="1B1B1B"/>
          <w:sz w:val="22"/>
          <w:szCs w:val="22"/>
        </w:rPr>
        <w:t>.</w:t>
      </w:r>
    </w:p>
    <w:p w14:paraId="6CD6E5EA" w14:textId="77777777" w:rsidR="00097687" w:rsidRPr="00B55BBC"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Wipe clean or destroy old computer hard drives and printers that contain sensitive data</w:t>
      </w:r>
      <w:r>
        <w:rPr>
          <w:rFonts w:ascii="Arial" w:hAnsi="Arial" w:cs="Arial"/>
          <w:color w:val="1B1B1B"/>
          <w:sz w:val="22"/>
          <w:szCs w:val="22"/>
        </w:rPr>
        <w:t>.</w:t>
      </w:r>
    </w:p>
    <w:p w14:paraId="0B3F2059" w14:textId="77777777" w:rsidR="00097687" w:rsidRDefault="00097687" w:rsidP="00097687">
      <w:pPr>
        <w:numPr>
          <w:ilvl w:val="0"/>
          <w:numId w:val="9"/>
        </w:numPr>
        <w:shd w:val="clear" w:color="auto" w:fill="FFFFFF"/>
        <w:spacing w:before="100" w:beforeAutospacing="1" w:after="100" w:afterAutospacing="1"/>
        <w:jc w:val="both"/>
        <w:rPr>
          <w:rFonts w:ascii="Arial" w:hAnsi="Arial" w:cs="Arial"/>
          <w:color w:val="1B1B1B"/>
          <w:sz w:val="22"/>
          <w:szCs w:val="22"/>
        </w:rPr>
      </w:pPr>
      <w:r w:rsidRPr="00B55BBC">
        <w:rPr>
          <w:rFonts w:ascii="Arial" w:hAnsi="Arial" w:cs="Arial"/>
          <w:color w:val="1B1B1B"/>
          <w:sz w:val="22"/>
          <w:szCs w:val="22"/>
        </w:rPr>
        <w:t>Limit access to taxpayer data to individuals who need to know</w:t>
      </w:r>
      <w:r>
        <w:rPr>
          <w:rFonts w:ascii="Arial" w:hAnsi="Arial" w:cs="Arial"/>
          <w:color w:val="1B1B1B"/>
          <w:sz w:val="22"/>
          <w:szCs w:val="22"/>
        </w:rPr>
        <w:t>.</w:t>
      </w:r>
    </w:p>
    <w:p w14:paraId="0FC89DD3" w14:textId="77777777" w:rsidR="00097687" w:rsidRDefault="00000000" w:rsidP="00097687">
      <w:pPr>
        <w:numPr>
          <w:ilvl w:val="0"/>
          <w:numId w:val="9"/>
        </w:numPr>
        <w:shd w:val="clear" w:color="auto" w:fill="FFFFFF"/>
        <w:spacing w:before="100" w:beforeAutospacing="1" w:after="100" w:afterAutospacing="1"/>
        <w:jc w:val="both"/>
        <w:rPr>
          <w:rFonts w:ascii="Arial" w:hAnsi="Arial" w:cs="Arial"/>
          <w:color w:val="1B1B1B"/>
          <w:sz w:val="22"/>
          <w:szCs w:val="22"/>
        </w:rPr>
      </w:pPr>
      <w:hyperlink r:id="rId7" w:history="1">
        <w:r w:rsidR="00097687" w:rsidRPr="00B55C44">
          <w:rPr>
            <w:rStyle w:val="Hyperlink"/>
            <w:rFonts w:ascii="Arial" w:eastAsiaTheme="majorEastAsia" w:hAnsi="Arial" w:cs="Arial"/>
            <w:sz w:val="22"/>
            <w:szCs w:val="22"/>
          </w:rPr>
          <w:t>How to maintain, monitor and protect your EFIN | Internal Revenue Service</w:t>
        </w:r>
      </w:hyperlink>
    </w:p>
    <w:p w14:paraId="1E5B5091" w14:textId="77777777" w:rsidR="00097687" w:rsidRDefault="00000000" w:rsidP="00097687">
      <w:pPr>
        <w:numPr>
          <w:ilvl w:val="0"/>
          <w:numId w:val="9"/>
        </w:numPr>
        <w:shd w:val="clear" w:color="auto" w:fill="FFFFFF"/>
        <w:jc w:val="both"/>
        <w:rPr>
          <w:rFonts w:ascii="Arial" w:hAnsi="Arial" w:cs="Arial"/>
          <w:color w:val="1B1B1B"/>
          <w:sz w:val="22"/>
          <w:szCs w:val="22"/>
        </w:rPr>
      </w:pPr>
      <w:hyperlink r:id="rId8" w:history="1">
        <w:r w:rsidR="00097687">
          <w:rPr>
            <w:rStyle w:val="Hyperlink"/>
            <w:rFonts w:ascii="Arial" w:eastAsiaTheme="majorEastAsia" w:hAnsi="Arial" w:cs="Arial"/>
            <w:sz w:val="22"/>
            <w:szCs w:val="22"/>
          </w:rPr>
          <w:t>Monitor Returns Filed per PTIN | Internal Revenue Service</w:t>
        </w:r>
      </w:hyperlink>
    </w:p>
    <w:p w14:paraId="2FD2FD11" w14:textId="6D897CBF" w:rsidR="000D57F9" w:rsidRDefault="000D57F9"/>
    <w:p w14:paraId="63FCBED7" w14:textId="77777777" w:rsidR="00097687" w:rsidRDefault="00097687"/>
    <w:p w14:paraId="4357106D" w14:textId="77777777" w:rsidR="00097687" w:rsidRPr="00C850FC" w:rsidRDefault="00097687" w:rsidP="00097687">
      <w:pPr>
        <w:jc w:val="center"/>
        <w:rPr>
          <w:rFonts w:ascii="Arial" w:hAnsi="Arial" w:cs="Arial"/>
          <w:b/>
          <w:sz w:val="36"/>
          <w:szCs w:val="36"/>
        </w:rPr>
      </w:pPr>
      <w:r>
        <w:rPr>
          <w:rFonts w:ascii="Arial" w:hAnsi="Arial" w:cs="Arial"/>
          <w:b/>
          <w:sz w:val="36"/>
          <w:szCs w:val="36"/>
        </w:rPr>
        <w:t xml:space="preserve">Data Breach Tax Tips for Tax Pros </w:t>
      </w:r>
    </w:p>
    <w:p w14:paraId="0EE0F8AD" w14:textId="77777777" w:rsidR="00097687" w:rsidRPr="00CD3C57" w:rsidRDefault="00097687" w:rsidP="00097687">
      <w:pPr>
        <w:jc w:val="center"/>
        <w:rPr>
          <w:rFonts w:ascii="Arial" w:hAnsi="Arial" w:cs="Arial"/>
        </w:rPr>
      </w:pPr>
      <w:r w:rsidRPr="00CD3C57">
        <w:rPr>
          <w:rFonts w:ascii="Arial" w:hAnsi="Arial" w:cs="Arial"/>
        </w:rPr>
        <w:t>(</w:t>
      </w:r>
      <w:r>
        <w:rPr>
          <w:rFonts w:ascii="Arial" w:hAnsi="Arial" w:cs="Arial"/>
        </w:rPr>
        <w:t>C</w:t>
      </w:r>
      <w:r w:rsidRPr="00CD3C57">
        <w:rPr>
          <w:rFonts w:ascii="Arial" w:hAnsi="Arial" w:cs="Arial"/>
        </w:rPr>
        <w:t xml:space="preserve">lick </w:t>
      </w:r>
      <w:r>
        <w:rPr>
          <w:rFonts w:ascii="Arial" w:hAnsi="Arial" w:cs="Arial"/>
        </w:rPr>
        <w:t xml:space="preserve">the links </w:t>
      </w:r>
      <w:r w:rsidRPr="00CD3C57">
        <w:rPr>
          <w:rFonts w:ascii="Arial" w:hAnsi="Arial" w:cs="Arial"/>
        </w:rPr>
        <w:t>for more informatio</w:t>
      </w:r>
      <w:r>
        <w:rPr>
          <w:rFonts w:ascii="Arial" w:hAnsi="Arial" w:cs="Arial"/>
        </w:rPr>
        <w:t>n)</w:t>
      </w:r>
    </w:p>
    <w:p w14:paraId="67B0D0D3" w14:textId="77777777" w:rsidR="00097687" w:rsidRDefault="00097687" w:rsidP="00097687">
      <w:pPr>
        <w:rPr>
          <w:rFonts w:ascii="Arial" w:eastAsiaTheme="minorHAnsi" w:hAnsi="Arial" w:cs="Arial"/>
          <w:b/>
          <w:bCs/>
          <w:sz w:val="22"/>
          <w:szCs w:val="22"/>
          <w:u w:val="single"/>
        </w:rPr>
      </w:pPr>
    </w:p>
    <w:p w14:paraId="05480F8A" w14:textId="77777777" w:rsidR="00097687" w:rsidRPr="006574F7" w:rsidRDefault="00097687" w:rsidP="00097687">
      <w:pPr>
        <w:rPr>
          <w:rFonts w:ascii="Arial" w:hAnsi="Arial" w:cs="Arial"/>
          <w:b/>
          <w:bCs/>
          <w:kern w:val="2"/>
          <w:sz w:val="22"/>
          <w:szCs w:val="22"/>
          <w:u w:val="single"/>
          <w14:ligatures w14:val="standardContextual"/>
        </w:rPr>
      </w:pPr>
      <w:r w:rsidRPr="006574F7">
        <w:rPr>
          <w:rFonts w:ascii="Arial" w:hAnsi="Arial" w:cs="Arial"/>
          <w:b/>
          <w:bCs/>
          <w:kern w:val="2"/>
          <w:sz w:val="22"/>
          <w:szCs w:val="22"/>
          <w:u w:val="single"/>
          <w14:ligatures w14:val="standardContextual"/>
        </w:rPr>
        <w:t>IRS Online Tool</w:t>
      </w:r>
    </w:p>
    <w:p w14:paraId="3888CF4A" w14:textId="77777777" w:rsidR="00097687" w:rsidRPr="00D66BD1" w:rsidRDefault="00097687" w:rsidP="00097687">
      <w:pPr>
        <w:pStyle w:val="ListParagraph"/>
        <w:numPr>
          <w:ilvl w:val="0"/>
          <w:numId w:val="12"/>
        </w:numPr>
        <w:rPr>
          <w:rFonts w:ascii="Arial" w:hAnsi="Arial" w:cs="Arial"/>
          <w:kern w:val="2"/>
          <w:sz w:val="22"/>
          <w:szCs w:val="22"/>
          <w14:ligatures w14:val="standardContextual"/>
        </w:rPr>
      </w:pPr>
      <w:r w:rsidRPr="00D66BD1">
        <w:rPr>
          <w:rFonts w:ascii="Arial" w:hAnsi="Arial" w:cs="Arial"/>
          <w:kern w:val="2"/>
          <w:sz w:val="22"/>
          <w:szCs w:val="22"/>
          <w14:ligatures w14:val="standardContextual"/>
        </w:rPr>
        <w:t xml:space="preserve">The fastest way to receive an IP PIN is to request one through your online account, under your  </w:t>
      </w:r>
    </w:p>
    <w:p w14:paraId="73851F86" w14:textId="77777777" w:rsidR="00097687" w:rsidRDefault="00097687" w:rsidP="00097687">
      <w:pPr>
        <w:rPr>
          <w:rFonts w:ascii="Arial" w:hAnsi="Arial" w:cs="Arial"/>
          <w:kern w:val="2"/>
          <w:sz w:val="22"/>
          <w:szCs w:val="22"/>
          <w14:ligatures w14:val="standardContextual"/>
        </w:rPr>
      </w:pPr>
      <w:r w:rsidRPr="00AA0BEA">
        <w:rPr>
          <w:rFonts w:ascii="Arial" w:hAnsi="Arial" w:cs="Arial"/>
          <w:kern w:val="2"/>
          <w:sz w:val="22"/>
          <w:szCs w:val="22"/>
          <w14:ligatures w14:val="standardContextual"/>
        </w:rPr>
        <w:t xml:space="preserve">           “Profile” page</w:t>
      </w:r>
      <w:r>
        <w:rPr>
          <w:rFonts w:ascii="Arial" w:hAnsi="Arial" w:cs="Arial"/>
          <w:kern w:val="2"/>
          <w:sz w:val="22"/>
          <w:szCs w:val="22"/>
          <w14:ligatures w14:val="standardContextual"/>
        </w:rPr>
        <w:t xml:space="preserve">: </w:t>
      </w:r>
      <w:hyperlink r:id="rId9" w:history="1">
        <w:r>
          <w:rPr>
            <w:rStyle w:val="Hyperlink"/>
            <w:rFonts w:ascii="Arial" w:eastAsiaTheme="majorEastAsia" w:hAnsi="Arial" w:cs="Arial"/>
            <w:kern w:val="2"/>
            <w:sz w:val="22"/>
            <w:szCs w:val="22"/>
            <w14:ligatures w14:val="standardContextual"/>
          </w:rPr>
          <w:t>Online Account for Individuals</w:t>
        </w:r>
      </w:hyperlink>
      <w:r>
        <w:rPr>
          <w:rFonts w:ascii="Arial" w:hAnsi="Arial" w:cs="Arial"/>
          <w:kern w:val="2"/>
          <w:sz w:val="22"/>
          <w:szCs w:val="22"/>
          <w14:ligatures w14:val="standardContextual"/>
        </w:rPr>
        <w:t>.</w:t>
      </w:r>
    </w:p>
    <w:p w14:paraId="5517491F" w14:textId="77777777" w:rsidR="00097687" w:rsidRPr="00AA0BEA" w:rsidRDefault="00097687" w:rsidP="00097687">
      <w:pPr>
        <w:pStyle w:val="ListParagraph"/>
        <w:numPr>
          <w:ilvl w:val="0"/>
          <w:numId w:val="12"/>
        </w:numPr>
        <w:rPr>
          <w:rFonts w:ascii="Arial" w:hAnsi="Arial" w:cs="Arial"/>
          <w:kern w:val="2"/>
          <w:sz w:val="22"/>
          <w:szCs w:val="22"/>
          <w14:ligatures w14:val="standardContextual"/>
        </w:rPr>
      </w:pPr>
      <w:r w:rsidRPr="00AA0BEA">
        <w:rPr>
          <w:rFonts w:ascii="Arial" w:hAnsi="Arial" w:cs="Arial"/>
          <w:kern w:val="2"/>
          <w:sz w:val="22"/>
          <w:szCs w:val="22"/>
          <w14:ligatures w14:val="standardContextual"/>
        </w:rPr>
        <w:t>To learn more about how an IP PIN can protect you from tax-related identity theft, visit</w:t>
      </w:r>
      <w:r>
        <w:rPr>
          <w:rFonts w:ascii="Arial" w:hAnsi="Arial" w:cs="Arial"/>
          <w:kern w:val="2"/>
          <w:sz w:val="22"/>
          <w:szCs w:val="22"/>
          <w14:ligatures w14:val="standardContextual"/>
        </w:rPr>
        <w:t>:</w:t>
      </w:r>
      <w:r w:rsidRPr="00AA0BEA">
        <w:rPr>
          <w:rFonts w:ascii="Arial" w:hAnsi="Arial" w:cs="Arial"/>
          <w:kern w:val="2"/>
          <w:sz w:val="22"/>
          <w:szCs w:val="22"/>
          <w14:ligatures w14:val="standardContextual"/>
        </w:rPr>
        <w:t> </w:t>
      </w:r>
      <w:hyperlink r:id="rId10" w:tooltip="Get an identity protection PIN" w:history="1">
        <w:r>
          <w:rPr>
            <w:rStyle w:val="Hyperlink"/>
            <w:rFonts w:ascii="Arial" w:eastAsiaTheme="majorEastAsia" w:hAnsi="Arial" w:cs="Arial"/>
            <w:kern w:val="2"/>
            <w:sz w:val="22"/>
            <w:szCs w:val="22"/>
            <w14:ligatures w14:val="standardContextual"/>
          </w:rPr>
          <w:t>Get an Identity Protection PIN</w:t>
        </w:r>
      </w:hyperlink>
      <w:r w:rsidRPr="00AA0BEA">
        <w:rPr>
          <w:rFonts w:ascii="Arial" w:hAnsi="Arial" w:cs="Arial"/>
          <w:kern w:val="2"/>
          <w:sz w:val="22"/>
          <w:szCs w:val="22"/>
          <w14:ligatures w14:val="standardContextual"/>
        </w:rPr>
        <w:t>.</w:t>
      </w:r>
    </w:p>
    <w:p w14:paraId="795D0466" w14:textId="77777777" w:rsidR="00097687" w:rsidRDefault="00097687" w:rsidP="00097687">
      <w:pPr>
        <w:rPr>
          <w:rFonts w:ascii="Arial" w:eastAsiaTheme="minorHAnsi" w:hAnsi="Arial" w:cs="Arial"/>
          <w:b/>
          <w:bCs/>
          <w:sz w:val="22"/>
          <w:szCs w:val="22"/>
          <w:u w:val="single"/>
        </w:rPr>
      </w:pPr>
    </w:p>
    <w:p w14:paraId="007EAA9B" w14:textId="77777777" w:rsidR="00097687" w:rsidRDefault="00097687" w:rsidP="00097687">
      <w:pPr>
        <w:rPr>
          <w:rFonts w:ascii="Arial" w:eastAsiaTheme="minorHAnsi" w:hAnsi="Arial" w:cs="Arial"/>
          <w:b/>
          <w:bCs/>
          <w:sz w:val="22"/>
          <w:szCs w:val="22"/>
          <w:u w:val="single"/>
        </w:rPr>
      </w:pPr>
    </w:p>
    <w:p w14:paraId="16639F01" w14:textId="77777777" w:rsidR="00097687" w:rsidRDefault="00097687" w:rsidP="00097687">
      <w:pPr>
        <w:rPr>
          <w:rFonts w:ascii="Arial" w:eastAsiaTheme="minorHAnsi" w:hAnsi="Arial" w:cs="Arial"/>
          <w:sz w:val="22"/>
          <w:szCs w:val="22"/>
        </w:rPr>
      </w:pPr>
      <w:r>
        <w:rPr>
          <w:rFonts w:ascii="Arial" w:eastAsiaTheme="minorHAnsi" w:hAnsi="Arial" w:cs="Arial"/>
          <w:b/>
          <w:bCs/>
          <w:sz w:val="22"/>
          <w:szCs w:val="22"/>
          <w:u w:val="single"/>
        </w:rPr>
        <w:t>IRS Resource Publications</w:t>
      </w:r>
    </w:p>
    <w:p w14:paraId="06D7A0AA" w14:textId="77777777" w:rsidR="00097687" w:rsidRDefault="00000000" w:rsidP="00097687">
      <w:pPr>
        <w:pStyle w:val="ListParagraph"/>
        <w:numPr>
          <w:ilvl w:val="0"/>
          <w:numId w:val="10"/>
        </w:numPr>
        <w:rPr>
          <w:rFonts w:ascii="Arial" w:eastAsiaTheme="minorHAnsi" w:hAnsi="Arial" w:cs="Arial"/>
          <w:sz w:val="22"/>
          <w:szCs w:val="22"/>
        </w:rPr>
      </w:pPr>
      <w:hyperlink r:id="rId11" w:history="1">
        <w:r w:rsidR="00097687">
          <w:rPr>
            <w:rStyle w:val="Hyperlink"/>
            <w:rFonts w:ascii="Arial" w:eastAsiaTheme="minorHAnsi" w:hAnsi="Arial" w:cs="Arial"/>
            <w:sz w:val="22"/>
            <w:szCs w:val="22"/>
          </w:rPr>
          <w:t>Publication 4557</w:t>
        </w:r>
      </w:hyperlink>
      <w:r w:rsidR="00097687">
        <w:rPr>
          <w:rFonts w:ascii="Arial" w:eastAsiaTheme="minorHAnsi" w:hAnsi="Arial" w:cs="Arial"/>
          <w:sz w:val="22"/>
          <w:szCs w:val="22"/>
        </w:rPr>
        <w:t xml:space="preserve"> </w:t>
      </w:r>
      <w:r w:rsidR="00097687" w:rsidRPr="00BF0D48">
        <w:rPr>
          <w:rFonts w:ascii="Arial" w:eastAsiaTheme="minorHAnsi" w:hAnsi="Arial" w:cs="Arial"/>
          <w:i/>
          <w:iCs/>
          <w:sz w:val="22"/>
          <w:szCs w:val="22"/>
        </w:rPr>
        <w:t>Safeguarding Taxpayer Data: A Guide for Your Business</w:t>
      </w:r>
    </w:p>
    <w:p w14:paraId="193B5AB0" w14:textId="77777777" w:rsidR="00097687" w:rsidRDefault="00000000" w:rsidP="00097687">
      <w:pPr>
        <w:pStyle w:val="ListParagraph"/>
        <w:numPr>
          <w:ilvl w:val="0"/>
          <w:numId w:val="10"/>
        </w:numPr>
        <w:rPr>
          <w:rFonts w:ascii="Arial" w:eastAsiaTheme="minorHAnsi" w:hAnsi="Arial" w:cs="Arial"/>
          <w:sz w:val="22"/>
          <w:szCs w:val="22"/>
        </w:rPr>
      </w:pPr>
      <w:hyperlink r:id="rId12" w:history="1">
        <w:r w:rsidR="00097687">
          <w:rPr>
            <w:rStyle w:val="Hyperlink"/>
            <w:rFonts w:ascii="Arial" w:eastAsiaTheme="minorHAnsi" w:hAnsi="Arial" w:cs="Arial"/>
            <w:sz w:val="22"/>
            <w:szCs w:val="22"/>
          </w:rPr>
          <w:t>Publication 5199</w:t>
        </w:r>
      </w:hyperlink>
      <w:r w:rsidR="00097687">
        <w:rPr>
          <w:rFonts w:ascii="Arial" w:eastAsiaTheme="minorHAnsi" w:hAnsi="Arial" w:cs="Arial"/>
          <w:sz w:val="22"/>
          <w:szCs w:val="22"/>
        </w:rPr>
        <w:t xml:space="preserve"> </w:t>
      </w:r>
      <w:r w:rsidR="00097687" w:rsidRPr="00BF0D48">
        <w:rPr>
          <w:rFonts w:ascii="Arial" w:eastAsiaTheme="minorHAnsi" w:hAnsi="Arial" w:cs="Arial"/>
          <w:i/>
          <w:iCs/>
          <w:sz w:val="22"/>
          <w:szCs w:val="22"/>
        </w:rPr>
        <w:t>Tax Preparer Guide to Identity Theft</w:t>
      </w:r>
    </w:p>
    <w:p w14:paraId="1512C142" w14:textId="77777777" w:rsidR="00097687" w:rsidRPr="00AA7430" w:rsidRDefault="00000000" w:rsidP="00097687">
      <w:pPr>
        <w:pStyle w:val="ListParagraph"/>
        <w:numPr>
          <w:ilvl w:val="0"/>
          <w:numId w:val="10"/>
        </w:numPr>
        <w:rPr>
          <w:rFonts w:ascii="Arial" w:eastAsiaTheme="minorHAnsi" w:hAnsi="Arial" w:cs="Arial"/>
          <w:sz w:val="22"/>
          <w:szCs w:val="22"/>
        </w:rPr>
      </w:pPr>
      <w:hyperlink r:id="rId13" w:history="1">
        <w:r w:rsidR="00097687">
          <w:rPr>
            <w:rStyle w:val="Hyperlink"/>
            <w:rFonts w:ascii="Arial" w:eastAsiaTheme="minorHAnsi" w:hAnsi="Arial" w:cs="Arial"/>
            <w:sz w:val="22"/>
            <w:szCs w:val="22"/>
          </w:rPr>
          <w:t>Publication 5293</w:t>
        </w:r>
      </w:hyperlink>
      <w:r w:rsidR="00097687">
        <w:rPr>
          <w:rFonts w:ascii="Arial" w:eastAsiaTheme="minorHAnsi" w:hAnsi="Arial" w:cs="Arial"/>
          <w:sz w:val="22"/>
          <w:szCs w:val="22"/>
        </w:rPr>
        <w:t xml:space="preserve"> </w:t>
      </w:r>
      <w:r w:rsidR="00097687" w:rsidRPr="00BF0D48">
        <w:rPr>
          <w:rFonts w:ascii="Arial" w:eastAsiaTheme="minorHAnsi" w:hAnsi="Arial" w:cs="Arial"/>
          <w:i/>
          <w:iCs/>
          <w:sz w:val="22"/>
          <w:szCs w:val="22"/>
        </w:rPr>
        <w:t>Data Security Resource Guide for Tax Professionals</w:t>
      </w:r>
    </w:p>
    <w:p w14:paraId="0B8CBC5C" w14:textId="77777777" w:rsidR="00097687" w:rsidRDefault="00000000" w:rsidP="00097687">
      <w:pPr>
        <w:pStyle w:val="ListParagraph"/>
        <w:numPr>
          <w:ilvl w:val="0"/>
          <w:numId w:val="10"/>
        </w:numPr>
        <w:rPr>
          <w:rFonts w:ascii="Arial" w:eastAsiaTheme="minorHAnsi" w:hAnsi="Arial" w:cs="Arial"/>
          <w:sz w:val="22"/>
          <w:szCs w:val="22"/>
        </w:rPr>
      </w:pPr>
      <w:hyperlink r:id="rId14" w:history="1">
        <w:r w:rsidR="00097687">
          <w:rPr>
            <w:rStyle w:val="Hyperlink"/>
            <w:rFonts w:ascii="Arial" w:eastAsiaTheme="minorHAnsi" w:hAnsi="Arial" w:cs="Arial"/>
            <w:sz w:val="22"/>
            <w:szCs w:val="22"/>
          </w:rPr>
          <w:t>Publication 5367</w:t>
        </w:r>
      </w:hyperlink>
      <w:r w:rsidR="00097687">
        <w:rPr>
          <w:rFonts w:ascii="Arial" w:eastAsiaTheme="minorHAnsi" w:hAnsi="Arial" w:cs="Arial"/>
          <w:sz w:val="22"/>
          <w:szCs w:val="22"/>
        </w:rPr>
        <w:t xml:space="preserve"> </w:t>
      </w:r>
      <w:r w:rsidR="00097687" w:rsidRPr="00BF0D48">
        <w:rPr>
          <w:rFonts w:ascii="Arial" w:eastAsiaTheme="minorHAnsi" w:hAnsi="Arial" w:cs="Arial"/>
          <w:i/>
          <w:iCs/>
          <w:sz w:val="22"/>
          <w:szCs w:val="22"/>
        </w:rPr>
        <w:t>Identity Protection PIN Guide</w:t>
      </w:r>
    </w:p>
    <w:p w14:paraId="3122DA2B" w14:textId="77777777" w:rsidR="00097687" w:rsidRPr="00700284" w:rsidRDefault="00097687" w:rsidP="00097687">
      <w:pPr>
        <w:pStyle w:val="ListParagraph"/>
        <w:rPr>
          <w:rFonts w:ascii="Arial" w:eastAsiaTheme="minorHAnsi" w:hAnsi="Arial" w:cs="Arial"/>
          <w:sz w:val="22"/>
          <w:szCs w:val="22"/>
        </w:rPr>
      </w:pPr>
    </w:p>
    <w:p w14:paraId="2118836B" w14:textId="77777777" w:rsidR="00097687" w:rsidRDefault="00097687" w:rsidP="00097687">
      <w:pPr>
        <w:rPr>
          <w:rFonts w:ascii="Arial" w:hAnsi="Arial" w:cs="Arial"/>
          <w:kern w:val="2"/>
          <w:sz w:val="22"/>
          <w:szCs w:val="22"/>
          <w14:ligatures w14:val="standardContextual"/>
        </w:rPr>
      </w:pPr>
    </w:p>
    <w:p w14:paraId="44766F42" w14:textId="77777777" w:rsidR="00097687" w:rsidRDefault="00097687" w:rsidP="00097687">
      <w:pPr>
        <w:rPr>
          <w:rFonts w:ascii="Arial" w:hAnsi="Arial" w:cs="Arial"/>
          <w:kern w:val="2"/>
          <w:sz w:val="22"/>
          <w:szCs w:val="22"/>
          <w14:ligatures w14:val="standardContextual"/>
        </w:rPr>
      </w:pPr>
      <w:r w:rsidRPr="0093468B">
        <w:rPr>
          <w:rFonts w:ascii="Arial" w:hAnsi="Arial" w:cs="Arial"/>
          <w:b/>
          <w:bCs/>
          <w:kern w:val="2"/>
          <w:sz w:val="22"/>
          <w:szCs w:val="22"/>
          <w:u w:val="single"/>
          <w14:ligatures w14:val="standardContextual"/>
        </w:rPr>
        <w:t>IRS Resource Forms</w:t>
      </w:r>
    </w:p>
    <w:p w14:paraId="0E970ED5" w14:textId="77777777" w:rsidR="00097687" w:rsidRDefault="00000000" w:rsidP="00097687">
      <w:pPr>
        <w:pStyle w:val="ListParagraph"/>
        <w:numPr>
          <w:ilvl w:val="0"/>
          <w:numId w:val="11"/>
        </w:numPr>
        <w:rPr>
          <w:rFonts w:ascii="Arial" w:hAnsi="Arial" w:cs="Arial"/>
          <w:kern w:val="2"/>
          <w:sz w:val="22"/>
          <w:szCs w:val="22"/>
          <w14:ligatures w14:val="standardContextual"/>
        </w:rPr>
      </w:pPr>
      <w:hyperlink r:id="rId15" w:history="1">
        <w:r w:rsidR="00097687">
          <w:rPr>
            <w:rStyle w:val="Hyperlink"/>
            <w:rFonts w:ascii="Arial" w:eastAsiaTheme="majorEastAsia" w:hAnsi="Arial" w:cs="Arial"/>
            <w:kern w:val="2"/>
            <w:sz w:val="22"/>
            <w:szCs w:val="22"/>
            <w14:ligatures w14:val="standardContextual"/>
          </w:rPr>
          <w:t>Form 15227</w:t>
        </w:r>
      </w:hyperlink>
      <w:r w:rsidR="00097687" w:rsidRPr="006574F7">
        <w:t xml:space="preserve"> </w:t>
      </w:r>
      <w:r w:rsidR="00097687" w:rsidRPr="006574F7">
        <w:rPr>
          <w:rFonts w:ascii="Arial" w:hAnsi="Arial" w:cs="Arial"/>
          <w:i/>
          <w:iCs/>
          <w:kern w:val="2"/>
          <w:sz w:val="22"/>
          <w:szCs w:val="22"/>
          <w14:ligatures w14:val="standardContextual"/>
        </w:rPr>
        <w:t>Application for an Identity Protection Personal Identification Number (IP PIN)</w:t>
      </w:r>
    </w:p>
    <w:p w14:paraId="5420C710" w14:textId="77777777" w:rsidR="00097687" w:rsidRPr="0093468B" w:rsidRDefault="00000000" w:rsidP="00097687">
      <w:pPr>
        <w:pStyle w:val="ListParagraph"/>
        <w:numPr>
          <w:ilvl w:val="0"/>
          <w:numId w:val="11"/>
        </w:numPr>
        <w:rPr>
          <w:rFonts w:ascii="Arial" w:hAnsi="Arial" w:cs="Arial"/>
          <w:kern w:val="2"/>
          <w:sz w:val="22"/>
          <w:szCs w:val="22"/>
          <w14:ligatures w14:val="standardContextual"/>
        </w:rPr>
      </w:pPr>
      <w:hyperlink r:id="rId16" w:history="1">
        <w:r w:rsidR="00097687">
          <w:rPr>
            <w:rStyle w:val="Hyperlink"/>
            <w:rFonts w:ascii="Arial" w:eastAsiaTheme="majorEastAsia" w:hAnsi="Arial" w:cs="Arial"/>
            <w:kern w:val="2"/>
            <w:sz w:val="22"/>
            <w:szCs w:val="22"/>
            <w14:ligatures w14:val="standardContextual"/>
          </w:rPr>
          <w:t>Form 14039</w:t>
        </w:r>
      </w:hyperlink>
      <w:r w:rsidR="00097687">
        <w:rPr>
          <w:rFonts w:ascii="Arial" w:hAnsi="Arial" w:cs="Arial"/>
          <w:kern w:val="2"/>
          <w:sz w:val="22"/>
          <w:szCs w:val="22"/>
          <w14:ligatures w14:val="standardContextual"/>
        </w:rPr>
        <w:t xml:space="preserve"> </w:t>
      </w:r>
      <w:r w:rsidR="00097687" w:rsidRPr="006574F7">
        <w:rPr>
          <w:rFonts w:ascii="Arial" w:hAnsi="Arial" w:cs="Arial"/>
          <w:i/>
          <w:iCs/>
          <w:kern w:val="2"/>
          <w:sz w:val="22"/>
          <w:szCs w:val="22"/>
          <w14:ligatures w14:val="standardContextual"/>
        </w:rPr>
        <w:t>Identity Theft Affidavit</w:t>
      </w:r>
    </w:p>
    <w:p w14:paraId="088187CF" w14:textId="77777777" w:rsidR="00097687" w:rsidRDefault="00097687" w:rsidP="00097687">
      <w:pPr>
        <w:rPr>
          <w:rFonts w:ascii="Arial" w:hAnsi="Arial" w:cs="Arial"/>
          <w:kern w:val="2"/>
          <w:sz w:val="22"/>
          <w:szCs w:val="22"/>
          <w14:ligatures w14:val="standardContextual"/>
        </w:rPr>
      </w:pPr>
    </w:p>
    <w:p w14:paraId="6C43BF40" w14:textId="77777777" w:rsidR="00097687" w:rsidRDefault="00097687" w:rsidP="00097687">
      <w:pPr>
        <w:rPr>
          <w:rFonts w:ascii="Arial" w:hAnsi="Arial" w:cs="Arial"/>
          <w:kern w:val="2"/>
          <w:sz w:val="22"/>
          <w:szCs w:val="22"/>
          <w14:ligatures w14:val="standardContextual"/>
        </w:rPr>
      </w:pPr>
    </w:p>
    <w:p w14:paraId="7E0CFD25" w14:textId="77777777" w:rsidR="00097687" w:rsidRPr="00D04335" w:rsidRDefault="00097687" w:rsidP="00097687">
      <w:pPr>
        <w:rPr>
          <w:rFonts w:ascii="Arial" w:hAnsi="Arial" w:cs="Arial"/>
          <w:b/>
          <w:bCs/>
          <w:kern w:val="2"/>
          <w:sz w:val="22"/>
          <w:szCs w:val="22"/>
          <w:u w:val="single"/>
          <w14:ligatures w14:val="standardContextual"/>
        </w:rPr>
      </w:pPr>
      <w:r w:rsidRPr="00D04335">
        <w:rPr>
          <w:rFonts w:ascii="Arial" w:hAnsi="Arial" w:cs="Arial"/>
          <w:b/>
          <w:bCs/>
          <w:kern w:val="2"/>
          <w:sz w:val="22"/>
          <w:szCs w:val="22"/>
          <w:u w:val="single"/>
          <w14:ligatures w14:val="standardContextual"/>
        </w:rPr>
        <w:t xml:space="preserve">IRS Website </w:t>
      </w:r>
    </w:p>
    <w:p w14:paraId="5358813B" w14:textId="77777777" w:rsidR="00097687" w:rsidRDefault="00000000" w:rsidP="00097687">
      <w:pPr>
        <w:pStyle w:val="ListParagraph"/>
        <w:numPr>
          <w:ilvl w:val="0"/>
          <w:numId w:val="13"/>
        </w:numPr>
        <w:rPr>
          <w:rFonts w:ascii="Arial" w:hAnsi="Arial" w:cs="Arial"/>
          <w:kern w:val="2"/>
          <w:sz w:val="22"/>
          <w:szCs w:val="22"/>
          <w14:ligatures w14:val="standardContextual"/>
        </w:rPr>
      </w:pPr>
      <w:hyperlink r:id="rId17" w:history="1">
        <w:r w:rsidR="00097687" w:rsidRPr="00D04335">
          <w:rPr>
            <w:rStyle w:val="Hyperlink"/>
            <w:rFonts w:ascii="Arial" w:eastAsiaTheme="majorEastAsia" w:hAnsi="Arial" w:cs="Arial"/>
            <w:kern w:val="2"/>
            <w:sz w:val="22"/>
            <w:szCs w:val="22"/>
            <w14:ligatures w14:val="standardContextual"/>
          </w:rPr>
          <w:t>Dirty Dozen | Internal Revenue Service</w:t>
        </w:r>
      </w:hyperlink>
    </w:p>
    <w:p w14:paraId="056299F7" w14:textId="77777777" w:rsidR="00097687" w:rsidRPr="00D04335" w:rsidRDefault="00000000" w:rsidP="00097687">
      <w:pPr>
        <w:pStyle w:val="ListParagraph"/>
        <w:numPr>
          <w:ilvl w:val="0"/>
          <w:numId w:val="13"/>
        </w:numPr>
        <w:rPr>
          <w:rFonts w:ascii="Arial" w:hAnsi="Arial" w:cs="Arial"/>
          <w:kern w:val="2"/>
          <w:sz w:val="22"/>
          <w:szCs w:val="22"/>
          <w14:ligatures w14:val="standardContextual"/>
        </w:rPr>
      </w:pPr>
      <w:hyperlink r:id="rId18" w:history="1">
        <w:r w:rsidR="00097687" w:rsidRPr="00D04335">
          <w:rPr>
            <w:rStyle w:val="Hyperlink"/>
            <w:rFonts w:ascii="Arial" w:eastAsiaTheme="majorEastAsia" w:hAnsi="Arial" w:cs="Arial"/>
            <w:kern w:val="2"/>
            <w:sz w:val="22"/>
            <w:szCs w:val="22"/>
            <w14:ligatures w14:val="standardContextual"/>
          </w:rPr>
          <w:t>Identity Theft Central | Internal Revenue Service</w:t>
        </w:r>
      </w:hyperlink>
    </w:p>
    <w:p w14:paraId="32B950EE" w14:textId="77777777" w:rsidR="00097687" w:rsidRDefault="00097687" w:rsidP="00097687">
      <w:pPr>
        <w:rPr>
          <w:rFonts w:ascii="Arial" w:hAnsi="Arial" w:cs="Arial"/>
          <w:kern w:val="2"/>
          <w:sz w:val="22"/>
          <w:szCs w:val="22"/>
          <w14:ligatures w14:val="standardContextual"/>
        </w:rPr>
      </w:pPr>
    </w:p>
    <w:p w14:paraId="0A6276C8" w14:textId="77777777" w:rsidR="00097687" w:rsidRDefault="00097687" w:rsidP="00097687">
      <w:pPr>
        <w:jc w:val="both"/>
        <w:rPr>
          <w:rFonts w:ascii="Arial" w:eastAsiaTheme="minorHAnsi" w:hAnsi="Arial" w:cs="Arial"/>
          <w:sz w:val="22"/>
          <w:szCs w:val="22"/>
        </w:rPr>
      </w:pPr>
    </w:p>
    <w:p w14:paraId="7E739298" w14:textId="77777777" w:rsidR="00097687" w:rsidRDefault="00097687" w:rsidP="00097687">
      <w:pPr>
        <w:jc w:val="both"/>
        <w:rPr>
          <w:rFonts w:ascii="Arial" w:eastAsiaTheme="minorHAnsi" w:hAnsi="Arial" w:cs="Arial"/>
          <w:sz w:val="22"/>
          <w:szCs w:val="22"/>
        </w:rPr>
      </w:pPr>
    </w:p>
    <w:p w14:paraId="32CBDD69" w14:textId="77777777" w:rsidR="00097687" w:rsidRDefault="00097687" w:rsidP="00097687">
      <w:pPr>
        <w:jc w:val="both"/>
        <w:rPr>
          <w:rFonts w:ascii="Arial" w:hAnsi="Arial" w:cs="Arial"/>
          <w:kern w:val="2"/>
          <w:sz w:val="22"/>
          <w:szCs w:val="22"/>
          <w14:ligatures w14:val="standardContextual"/>
        </w:rPr>
      </w:pPr>
      <w:r w:rsidRPr="00B55BBC">
        <w:rPr>
          <w:rFonts w:ascii="Arial" w:eastAsiaTheme="minorHAnsi" w:hAnsi="Arial" w:cs="Arial"/>
          <w:sz w:val="22"/>
          <w:szCs w:val="22"/>
        </w:rPr>
        <w:t xml:space="preserve">Report </w:t>
      </w:r>
      <w:r>
        <w:rPr>
          <w:rFonts w:ascii="Arial" w:eastAsiaTheme="minorHAnsi" w:hAnsi="Arial" w:cs="Arial"/>
          <w:sz w:val="22"/>
          <w:szCs w:val="22"/>
        </w:rPr>
        <w:t>y</w:t>
      </w:r>
      <w:r w:rsidRPr="00B55BBC">
        <w:rPr>
          <w:rFonts w:ascii="Arial" w:eastAsiaTheme="minorHAnsi" w:hAnsi="Arial" w:cs="Arial"/>
          <w:sz w:val="22"/>
          <w:szCs w:val="22"/>
        </w:rPr>
        <w:t xml:space="preserve">our Data Breach </w:t>
      </w:r>
      <w:r w:rsidRPr="00B55BBC">
        <w:rPr>
          <w:rFonts w:ascii="Arial" w:hAnsi="Arial" w:cs="Arial"/>
          <w:kern w:val="2"/>
          <w:sz w:val="22"/>
          <w:szCs w:val="22"/>
          <w14:ligatures w14:val="standardContextual"/>
        </w:rPr>
        <w:t xml:space="preserve">immediately to </w:t>
      </w:r>
      <w:r w:rsidRPr="00DC57FD">
        <w:rPr>
          <w:rFonts w:ascii="Arial" w:hAnsi="Arial" w:cs="Arial"/>
          <w:i/>
          <w:iCs/>
          <w:kern w:val="2"/>
          <w:sz w:val="22"/>
          <w:szCs w:val="22"/>
          <w:u w:val="single"/>
          <w14:ligatures w14:val="standardContextual"/>
        </w:rPr>
        <w:t>Ohio Stakeholder Liaison, Nichelle Gray (216/415-3512)</w:t>
      </w:r>
      <w:r w:rsidRPr="006E26D5">
        <w:rPr>
          <w:rFonts w:ascii="Arial" w:hAnsi="Arial" w:cs="Arial"/>
          <w:i/>
          <w:iCs/>
          <w:kern w:val="2"/>
          <w:sz w:val="22"/>
          <w:szCs w:val="22"/>
          <w14:ligatures w14:val="standardContextual"/>
        </w:rPr>
        <w:t>.</w:t>
      </w:r>
      <w:r w:rsidRPr="00B55BBC">
        <w:rPr>
          <w:rFonts w:ascii="Arial" w:hAnsi="Arial" w:cs="Arial"/>
          <w:kern w:val="2"/>
          <w:sz w:val="22"/>
          <w:szCs w:val="22"/>
          <w14:ligatures w14:val="standardContextual"/>
        </w:rPr>
        <w:t xml:space="preserve"> IRS stakeholder liaison will ensure all the appropriate IRS offices are alerted. If reported quickly, IRS can take steps to block fraudulent returns in the clients' names and will assist tax pros through the process. </w:t>
      </w:r>
      <w:r>
        <w:rPr>
          <w:rFonts w:ascii="Arial" w:hAnsi="Arial" w:cs="Arial"/>
          <w:kern w:val="2"/>
          <w:sz w:val="22"/>
          <w:szCs w:val="22"/>
          <w14:ligatures w14:val="standardContextual"/>
        </w:rPr>
        <w:t xml:space="preserve"> </w:t>
      </w:r>
      <w:r w:rsidRPr="00B55BBC">
        <w:rPr>
          <w:rFonts w:ascii="Arial" w:hAnsi="Arial" w:cs="Arial"/>
          <w:kern w:val="2"/>
          <w:sz w:val="22"/>
          <w:szCs w:val="22"/>
          <w14:ligatures w14:val="standardContextual"/>
        </w:rPr>
        <w:t>Speed is critical.</w:t>
      </w:r>
    </w:p>
    <w:p w14:paraId="51F9D94A" w14:textId="77777777" w:rsidR="00097687" w:rsidRDefault="00097687" w:rsidP="00097687">
      <w:pPr>
        <w:rPr>
          <w:rFonts w:ascii="Arial" w:hAnsi="Arial" w:cs="Arial"/>
          <w:kern w:val="2"/>
          <w:sz w:val="22"/>
          <w:szCs w:val="22"/>
          <w14:ligatures w14:val="standardContextual"/>
        </w:rPr>
      </w:pPr>
    </w:p>
    <w:p w14:paraId="7911C50B" w14:textId="77777777" w:rsidR="00097687" w:rsidRDefault="00097687" w:rsidP="00097687">
      <w:pPr>
        <w:rPr>
          <w:rFonts w:ascii="Arial" w:hAnsi="Arial" w:cs="Arial"/>
          <w:kern w:val="2"/>
          <w:sz w:val="22"/>
          <w:szCs w:val="22"/>
          <w14:ligatures w14:val="standardContextual"/>
        </w:rPr>
      </w:pPr>
    </w:p>
    <w:p w14:paraId="39C13D0B" w14:textId="77777777" w:rsidR="00097687" w:rsidRDefault="00097687" w:rsidP="00097687">
      <w:pPr>
        <w:rPr>
          <w:rFonts w:ascii="Arial" w:hAnsi="Arial" w:cs="Arial"/>
          <w:kern w:val="2"/>
          <w:sz w:val="22"/>
          <w:szCs w:val="22"/>
          <w14:ligatures w14:val="standardContextual"/>
        </w:rPr>
      </w:pPr>
    </w:p>
    <w:p w14:paraId="454FA730" w14:textId="77777777" w:rsidR="00097687" w:rsidRDefault="00097687" w:rsidP="00097687">
      <w:pPr>
        <w:rPr>
          <w:rFonts w:ascii="Arial" w:hAnsi="Arial" w:cs="Arial"/>
          <w:kern w:val="2"/>
          <w:sz w:val="22"/>
          <w:szCs w:val="22"/>
          <w14:ligatures w14:val="standardContextual"/>
        </w:rPr>
      </w:pPr>
    </w:p>
    <w:p w14:paraId="1BCDAE43" w14:textId="77777777" w:rsidR="00097687" w:rsidRDefault="00097687" w:rsidP="00097687">
      <w:pPr>
        <w:rPr>
          <w:rFonts w:ascii="Arial" w:hAnsi="Arial" w:cs="Arial"/>
          <w:kern w:val="2"/>
          <w:sz w:val="22"/>
          <w:szCs w:val="22"/>
          <w14:ligatures w14:val="standardContextual"/>
        </w:rPr>
      </w:pPr>
    </w:p>
    <w:p w14:paraId="3CA3014E" w14:textId="77777777" w:rsidR="00097687" w:rsidRDefault="00097687" w:rsidP="00097687">
      <w:pPr>
        <w:rPr>
          <w:rFonts w:ascii="Arial" w:hAnsi="Arial" w:cs="Arial"/>
          <w:kern w:val="2"/>
          <w:sz w:val="22"/>
          <w:szCs w:val="22"/>
          <w14:ligatures w14:val="standardContextual"/>
        </w:rPr>
      </w:pPr>
    </w:p>
    <w:p w14:paraId="5475D351" w14:textId="77777777" w:rsidR="00097687" w:rsidRDefault="00097687" w:rsidP="00097687">
      <w:pPr>
        <w:rPr>
          <w:rFonts w:ascii="Arial" w:hAnsi="Arial" w:cs="Arial"/>
          <w:kern w:val="2"/>
          <w:sz w:val="22"/>
          <w:szCs w:val="22"/>
          <w14:ligatures w14:val="standardContextual"/>
        </w:rPr>
      </w:pPr>
    </w:p>
    <w:p w14:paraId="4738BD4A" w14:textId="77777777" w:rsidR="00097687" w:rsidRDefault="00097687" w:rsidP="00097687">
      <w:pPr>
        <w:rPr>
          <w:rFonts w:ascii="Arial" w:hAnsi="Arial" w:cs="Arial"/>
          <w:kern w:val="2"/>
          <w:sz w:val="22"/>
          <w:szCs w:val="22"/>
          <w14:ligatures w14:val="standardContextual"/>
        </w:rPr>
      </w:pPr>
    </w:p>
    <w:p w14:paraId="66C2AB2E" w14:textId="77777777" w:rsidR="00097687" w:rsidRDefault="00097687" w:rsidP="00097687">
      <w:pPr>
        <w:rPr>
          <w:rFonts w:ascii="Arial" w:hAnsi="Arial" w:cs="Arial"/>
          <w:kern w:val="2"/>
          <w:sz w:val="22"/>
          <w:szCs w:val="22"/>
          <w14:ligatures w14:val="standardContextual"/>
        </w:rPr>
      </w:pPr>
    </w:p>
    <w:p w14:paraId="552DE1BF" w14:textId="77777777" w:rsidR="00097687" w:rsidRDefault="00097687" w:rsidP="00097687">
      <w:pPr>
        <w:rPr>
          <w:rFonts w:ascii="Arial" w:hAnsi="Arial" w:cs="Arial"/>
          <w:kern w:val="2"/>
          <w:sz w:val="22"/>
          <w:szCs w:val="22"/>
          <w14:ligatures w14:val="standardContextual"/>
        </w:rPr>
      </w:pPr>
    </w:p>
    <w:p w14:paraId="097F518D" w14:textId="77777777" w:rsidR="00097687" w:rsidRDefault="00097687"/>
    <w:sectPr w:rsidR="00097687" w:rsidSect="00097687">
      <w:headerReference w:type="default" r:id="rId19"/>
      <w:footerReference w:type="default" r:id="rId20"/>
      <w:pgSz w:w="12240" w:h="15840" w:code="1"/>
      <w:pgMar w:top="288" w:right="1152" w:bottom="173" w:left="1152"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4175" w14:textId="77777777" w:rsidR="00C56B7E" w:rsidRDefault="00C56B7E" w:rsidP="000D57F9">
      <w:r>
        <w:separator/>
      </w:r>
    </w:p>
  </w:endnote>
  <w:endnote w:type="continuationSeparator" w:id="0">
    <w:p w14:paraId="0B49A8C8" w14:textId="77777777" w:rsidR="00C56B7E" w:rsidRDefault="00C56B7E" w:rsidP="000D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05D2" w14:textId="77777777" w:rsidR="000D57F9" w:rsidRPr="000D57F9" w:rsidRDefault="000D57F9" w:rsidP="000D57F9">
    <w:pPr>
      <w:shd w:val="clear" w:color="auto" w:fill="FFFFFF"/>
      <w:jc w:val="both"/>
      <w:rPr>
        <w:rFonts w:ascii="Arial" w:hAnsi="Arial" w:cs="Arial"/>
        <w:color w:val="1B1B1B"/>
        <w:sz w:val="22"/>
        <w:szCs w:val="22"/>
      </w:rPr>
    </w:pPr>
  </w:p>
  <w:p w14:paraId="7F301A35" w14:textId="4B1D28C3" w:rsidR="000D57F9" w:rsidRPr="000D57F9" w:rsidRDefault="000D57F9" w:rsidP="008C6E56">
    <w:pPr>
      <w:shd w:val="clear" w:color="auto" w:fill="0E2841" w:themeFill="text2"/>
      <w:tabs>
        <w:tab w:val="center" w:pos="4968"/>
      </w:tabs>
      <w:rPr>
        <w:rFonts w:ascii="Arial" w:eastAsia="Calibri" w:hAnsi="Arial" w:cs="Arial"/>
        <w:color w:val="FF0000"/>
        <w:sz w:val="22"/>
        <w:szCs w:val="22"/>
      </w:rPr>
    </w:pPr>
    <w:r w:rsidRPr="000D57F9">
      <w:rPr>
        <w:rFonts w:ascii="Arial" w:eastAsia="Calibri" w:hAnsi="Arial" w:cs="Arial"/>
        <w:sz w:val="22"/>
        <w:szCs w:val="22"/>
      </w:rPr>
      <w:tab/>
    </w:r>
    <w:r w:rsidRPr="008C6E56">
      <w:rPr>
        <w:rFonts w:ascii="Arial" w:eastAsia="Calibri" w:hAnsi="Arial" w:cs="Arial"/>
        <w:sz w:val="22"/>
        <w:szCs w:val="22"/>
      </w:rPr>
      <w:t xml:space="preserve">-    Tax Tip </w:t>
    </w:r>
    <w:r w:rsidR="00EC0E52" w:rsidRPr="008C6E56">
      <w:rPr>
        <w:rFonts w:ascii="Arial" w:eastAsia="Calibri" w:hAnsi="Arial" w:cs="Arial"/>
        <w:sz w:val="22"/>
        <w:szCs w:val="22"/>
      </w:rPr>
      <w:t>F</w:t>
    </w:r>
    <w:r w:rsidRPr="008C6E56">
      <w:rPr>
        <w:rFonts w:ascii="Arial" w:eastAsia="Calibri" w:hAnsi="Arial" w:cs="Arial"/>
        <w:sz w:val="22"/>
        <w:szCs w:val="22"/>
      </w:rPr>
      <w:t xml:space="preserve">rom </w:t>
    </w:r>
    <w:r w:rsidR="00EC0E52" w:rsidRPr="008C6E56">
      <w:rPr>
        <w:rFonts w:ascii="Arial" w:eastAsia="Calibri" w:hAnsi="Arial" w:cs="Arial"/>
        <w:sz w:val="22"/>
        <w:szCs w:val="22"/>
      </w:rPr>
      <w:t>Y</w:t>
    </w:r>
    <w:r w:rsidRPr="008C6E56">
      <w:rPr>
        <w:rFonts w:ascii="Arial" w:eastAsia="Calibri" w:hAnsi="Arial" w:cs="Arial"/>
        <w:sz w:val="22"/>
        <w:szCs w:val="22"/>
      </w:rPr>
      <w:t xml:space="preserve">our </w:t>
    </w:r>
    <w:r w:rsidR="00EC0E52" w:rsidRPr="008C6E56">
      <w:rPr>
        <w:rFonts w:ascii="Arial" w:eastAsia="Calibri" w:hAnsi="Arial" w:cs="Arial"/>
        <w:sz w:val="22"/>
        <w:szCs w:val="22"/>
      </w:rPr>
      <w:t>L</w:t>
    </w:r>
    <w:r w:rsidRPr="008C6E56">
      <w:rPr>
        <w:rFonts w:ascii="Arial" w:eastAsia="Calibri" w:hAnsi="Arial" w:cs="Arial"/>
        <w:sz w:val="22"/>
        <w:szCs w:val="22"/>
      </w:rPr>
      <w:t>ocal Stakeholder Liaison   -</w:t>
    </w:r>
  </w:p>
  <w:p w14:paraId="736A6A0C" w14:textId="77777777" w:rsidR="000D57F9" w:rsidRPr="000D57F9" w:rsidRDefault="000D57F9" w:rsidP="000D57F9">
    <w:pPr>
      <w:rPr>
        <w:rFonts w:ascii="Arial" w:hAnsi="Arial" w:cs="Arial"/>
        <w:sz w:val="22"/>
        <w:szCs w:val="22"/>
      </w:rPr>
    </w:pPr>
  </w:p>
  <w:p w14:paraId="45586562" w14:textId="77777777" w:rsidR="000D57F9" w:rsidRDefault="000D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56E6" w14:textId="77777777" w:rsidR="00C56B7E" w:rsidRDefault="00C56B7E" w:rsidP="000D57F9">
      <w:r>
        <w:separator/>
      </w:r>
    </w:p>
  </w:footnote>
  <w:footnote w:type="continuationSeparator" w:id="0">
    <w:p w14:paraId="0AFEAE3D" w14:textId="77777777" w:rsidR="00C56B7E" w:rsidRDefault="00C56B7E" w:rsidP="000D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06BE" w14:textId="23ED3468" w:rsidR="000D57F9" w:rsidRDefault="000D57F9">
    <w:pPr>
      <w:pStyle w:val="Header"/>
    </w:pPr>
    <w:r w:rsidRPr="0047651E">
      <w:rPr>
        <w:noProof/>
      </w:rPr>
      <w:drawing>
        <wp:inline distT="0" distB="0" distL="0" distR="0" wp14:anchorId="5E004156" wp14:editId="72E2AF48">
          <wp:extent cx="6400800" cy="885190"/>
          <wp:effectExtent l="0" t="0" r="0" b="0"/>
          <wp:docPr id="2007776009" name="Picture 200777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41302" cy="890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105"/>
    <w:multiLevelType w:val="hybridMultilevel"/>
    <w:tmpl w:val="3A1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27388"/>
    <w:multiLevelType w:val="hybridMultilevel"/>
    <w:tmpl w:val="DF58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5746"/>
    <w:multiLevelType w:val="multilevel"/>
    <w:tmpl w:val="D74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40905"/>
    <w:multiLevelType w:val="hybridMultilevel"/>
    <w:tmpl w:val="ED54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F63CA"/>
    <w:multiLevelType w:val="hybridMultilevel"/>
    <w:tmpl w:val="F33A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222CF"/>
    <w:multiLevelType w:val="multilevel"/>
    <w:tmpl w:val="1432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2640D"/>
    <w:multiLevelType w:val="multilevel"/>
    <w:tmpl w:val="0562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34874"/>
    <w:multiLevelType w:val="multilevel"/>
    <w:tmpl w:val="A25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B599E"/>
    <w:multiLevelType w:val="multilevel"/>
    <w:tmpl w:val="8FCA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23314"/>
    <w:multiLevelType w:val="multilevel"/>
    <w:tmpl w:val="95A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70BC9"/>
    <w:multiLevelType w:val="multilevel"/>
    <w:tmpl w:val="7B6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F462A"/>
    <w:multiLevelType w:val="hybridMultilevel"/>
    <w:tmpl w:val="EED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10916"/>
    <w:multiLevelType w:val="multilevel"/>
    <w:tmpl w:val="A84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401767">
    <w:abstractNumId w:val="5"/>
  </w:num>
  <w:num w:numId="2" w16cid:durableId="1100492472">
    <w:abstractNumId w:val="10"/>
  </w:num>
  <w:num w:numId="3" w16cid:durableId="1542471358">
    <w:abstractNumId w:val="12"/>
  </w:num>
  <w:num w:numId="4" w16cid:durableId="1519661562">
    <w:abstractNumId w:val="7"/>
  </w:num>
  <w:num w:numId="5" w16cid:durableId="1608653223">
    <w:abstractNumId w:val="2"/>
  </w:num>
  <w:num w:numId="6" w16cid:durableId="1147436294">
    <w:abstractNumId w:val="8"/>
  </w:num>
  <w:num w:numId="7" w16cid:durableId="471871258">
    <w:abstractNumId w:val="6"/>
  </w:num>
  <w:num w:numId="8" w16cid:durableId="296685794">
    <w:abstractNumId w:val="9"/>
  </w:num>
  <w:num w:numId="9" w16cid:durableId="1684018300">
    <w:abstractNumId w:val="4"/>
  </w:num>
  <w:num w:numId="10" w16cid:durableId="611009663">
    <w:abstractNumId w:val="1"/>
  </w:num>
  <w:num w:numId="11" w16cid:durableId="1138183122">
    <w:abstractNumId w:val="11"/>
  </w:num>
  <w:num w:numId="12" w16cid:durableId="1592546039">
    <w:abstractNumId w:val="3"/>
  </w:num>
  <w:num w:numId="13" w16cid:durableId="64436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F9"/>
    <w:rsid w:val="00097687"/>
    <w:rsid w:val="000D57F9"/>
    <w:rsid w:val="00245E85"/>
    <w:rsid w:val="004A5602"/>
    <w:rsid w:val="005B32DF"/>
    <w:rsid w:val="00703182"/>
    <w:rsid w:val="008C6E56"/>
    <w:rsid w:val="00AA7430"/>
    <w:rsid w:val="00B53C7D"/>
    <w:rsid w:val="00C56B7E"/>
    <w:rsid w:val="00D8440E"/>
    <w:rsid w:val="00DB3F68"/>
    <w:rsid w:val="00EC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6B9F"/>
  <w15:chartTrackingRefBased/>
  <w15:docId w15:val="{FF798DF6-5779-4139-9A2C-E8E84D5D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8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D5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7F9"/>
    <w:rPr>
      <w:rFonts w:eastAsiaTheme="majorEastAsia" w:cstheme="majorBidi"/>
      <w:color w:val="272727" w:themeColor="text1" w:themeTint="D8"/>
    </w:rPr>
  </w:style>
  <w:style w:type="paragraph" w:styleId="Title">
    <w:name w:val="Title"/>
    <w:basedOn w:val="Normal"/>
    <w:next w:val="Normal"/>
    <w:link w:val="TitleChar"/>
    <w:uiPriority w:val="10"/>
    <w:qFormat/>
    <w:rsid w:val="000D5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7F9"/>
    <w:pPr>
      <w:spacing w:before="160"/>
      <w:jc w:val="center"/>
    </w:pPr>
    <w:rPr>
      <w:i/>
      <w:iCs/>
      <w:color w:val="404040" w:themeColor="text1" w:themeTint="BF"/>
    </w:rPr>
  </w:style>
  <w:style w:type="character" w:customStyle="1" w:styleId="QuoteChar">
    <w:name w:val="Quote Char"/>
    <w:basedOn w:val="DefaultParagraphFont"/>
    <w:link w:val="Quote"/>
    <w:uiPriority w:val="29"/>
    <w:rsid w:val="000D57F9"/>
    <w:rPr>
      <w:i/>
      <w:iCs/>
      <w:color w:val="404040" w:themeColor="text1" w:themeTint="BF"/>
    </w:rPr>
  </w:style>
  <w:style w:type="paragraph" w:styleId="ListParagraph">
    <w:name w:val="List Paragraph"/>
    <w:basedOn w:val="Normal"/>
    <w:uiPriority w:val="34"/>
    <w:qFormat/>
    <w:rsid w:val="000D57F9"/>
    <w:pPr>
      <w:ind w:left="720"/>
      <w:contextualSpacing/>
    </w:pPr>
  </w:style>
  <w:style w:type="character" w:styleId="IntenseEmphasis">
    <w:name w:val="Intense Emphasis"/>
    <w:basedOn w:val="DefaultParagraphFont"/>
    <w:uiPriority w:val="21"/>
    <w:qFormat/>
    <w:rsid w:val="000D57F9"/>
    <w:rPr>
      <w:i/>
      <w:iCs/>
      <w:color w:val="0F4761" w:themeColor="accent1" w:themeShade="BF"/>
    </w:rPr>
  </w:style>
  <w:style w:type="paragraph" w:styleId="IntenseQuote">
    <w:name w:val="Intense Quote"/>
    <w:basedOn w:val="Normal"/>
    <w:next w:val="Normal"/>
    <w:link w:val="IntenseQuoteChar"/>
    <w:uiPriority w:val="30"/>
    <w:qFormat/>
    <w:rsid w:val="000D5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7F9"/>
    <w:rPr>
      <w:i/>
      <w:iCs/>
      <w:color w:val="0F4761" w:themeColor="accent1" w:themeShade="BF"/>
    </w:rPr>
  </w:style>
  <w:style w:type="character" w:styleId="IntenseReference">
    <w:name w:val="Intense Reference"/>
    <w:basedOn w:val="DefaultParagraphFont"/>
    <w:uiPriority w:val="32"/>
    <w:qFormat/>
    <w:rsid w:val="000D57F9"/>
    <w:rPr>
      <w:b/>
      <w:bCs/>
      <w:smallCaps/>
      <w:color w:val="0F4761" w:themeColor="accent1" w:themeShade="BF"/>
      <w:spacing w:val="5"/>
    </w:rPr>
  </w:style>
  <w:style w:type="paragraph" w:styleId="Header">
    <w:name w:val="header"/>
    <w:basedOn w:val="Normal"/>
    <w:link w:val="HeaderChar"/>
    <w:uiPriority w:val="99"/>
    <w:unhideWhenUsed/>
    <w:rsid w:val="000D57F9"/>
    <w:pPr>
      <w:tabs>
        <w:tab w:val="center" w:pos="4680"/>
        <w:tab w:val="right" w:pos="9360"/>
      </w:tabs>
    </w:pPr>
  </w:style>
  <w:style w:type="character" w:customStyle="1" w:styleId="HeaderChar">
    <w:name w:val="Header Char"/>
    <w:basedOn w:val="DefaultParagraphFont"/>
    <w:link w:val="Header"/>
    <w:uiPriority w:val="99"/>
    <w:rsid w:val="000D57F9"/>
  </w:style>
  <w:style w:type="paragraph" w:styleId="Footer">
    <w:name w:val="footer"/>
    <w:basedOn w:val="Normal"/>
    <w:link w:val="FooterChar"/>
    <w:uiPriority w:val="99"/>
    <w:unhideWhenUsed/>
    <w:rsid w:val="000D57F9"/>
    <w:pPr>
      <w:tabs>
        <w:tab w:val="center" w:pos="4680"/>
        <w:tab w:val="right" w:pos="9360"/>
      </w:tabs>
    </w:pPr>
  </w:style>
  <w:style w:type="character" w:customStyle="1" w:styleId="FooterChar">
    <w:name w:val="Footer Char"/>
    <w:basedOn w:val="DefaultParagraphFont"/>
    <w:link w:val="Footer"/>
    <w:uiPriority w:val="99"/>
    <w:rsid w:val="000D57F9"/>
  </w:style>
  <w:style w:type="character" w:styleId="Hyperlink">
    <w:name w:val="Hyperlink"/>
    <w:rsid w:val="00097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tax-professionals/returns-per-ptin" TargetMode="External"/><Relationship Id="rId13" Type="http://schemas.openxmlformats.org/officeDocument/2006/relationships/hyperlink" Target="https://www.irs.gov/pub/irs-pdf/p5293.pdf" TargetMode="External"/><Relationship Id="rId18" Type="http://schemas.openxmlformats.org/officeDocument/2006/relationships/hyperlink" Target="https://www.irs.gov/identity-theft-centr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rs.gov/tax-professionals/how-to-maintain-monitor-and-protect-your-efin" TargetMode="External"/><Relationship Id="rId12" Type="http://schemas.openxmlformats.org/officeDocument/2006/relationships/hyperlink" Target="https://www.irs.gov/pub/irs-pdf/p5199.pdf" TargetMode="External"/><Relationship Id="rId17" Type="http://schemas.openxmlformats.org/officeDocument/2006/relationships/hyperlink" Target="https://www.irs.gov/newsroom/dirty-dozen" TargetMode="External"/><Relationship Id="rId2" Type="http://schemas.openxmlformats.org/officeDocument/2006/relationships/styles" Target="styles.xml"/><Relationship Id="rId16" Type="http://schemas.openxmlformats.org/officeDocument/2006/relationships/hyperlink" Target="https://www.irs.gov/pub/irs-pdf/f14039.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pub/irs-pdf/p4557.pdf" TargetMode="External"/><Relationship Id="rId5" Type="http://schemas.openxmlformats.org/officeDocument/2006/relationships/footnotes" Target="footnotes.xml"/><Relationship Id="rId15" Type="http://schemas.openxmlformats.org/officeDocument/2006/relationships/hyperlink" Target="https://www.irs.gov/pub/irs-pdf/f15227.pdf" TargetMode="External"/><Relationship Id="rId10" Type="http://schemas.openxmlformats.org/officeDocument/2006/relationships/hyperlink" Target="https://www.irs.gov/identity-theft-fraud-scams/get-an-identity-protection-p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rs.gov/payments/online-account-for-individuals" TargetMode="External"/><Relationship Id="rId14" Type="http://schemas.openxmlformats.org/officeDocument/2006/relationships/hyperlink" Target="https://www.irs.gov/pub/irs-pdf/p5367e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Nichelle D</dc:creator>
  <cp:keywords/>
  <dc:description/>
  <cp:lastModifiedBy>Gray Nichelle D</cp:lastModifiedBy>
  <cp:revision>3</cp:revision>
  <dcterms:created xsi:type="dcterms:W3CDTF">2025-03-04T14:58:00Z</dcterms:created>
  <dcterms:modified xsi:type="dcterms:W3CDTF">2025-03-04T21:01:00Z</dcterms:modified>
</cp:coreProperties>
</file>